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314973" w:rsidRPr="00CD13C5" w:rsidTr="00A6195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CD13C5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CD13C5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CD13C5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CD13C5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CD13C5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CD13C5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CD13C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08E3F8" wp14:editId="691E71A4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314973" w:rsidRPr="00CD13C5" w:rsidRDefault="00314973" w:rsidP="003149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CD13C5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314973" w:rsidRPr="00CD13C5" w:rsidRDefault="00314973" w:rsidP="00314973">
      <w:pPr>
        <w:spacing w:after="0" w:line="240" w:lineRule="auto"/>
        <w:rPr>
          <w:rFonts w:eastAsia="Times New Roman"/>
          <w:b/>
          <w:lang w:val="tt-RU" w:eastAsia="ru-RU"/>
        </w:rPr>
      </w:pPr>
    </w:p>
    <w:p w:rsidR="00314973" w:rsidRPr="00CD13C5" w:rsidRDefault="00314973" w:rsidP="0031497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D13C5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314973" w:rsidRPr="00314973" w:rsidRDefault="00314973" w:rsidP="00314973">
      <w:pPr>
        <w:spacing w:after="0" w:line="240" w:lineRule="auto"/>
        <w:jc w:val="center"/>
        <w:rPr>
          <w:b/>
          <w:sz w:val="8"/>
        </w:rPr>
      </w:pPr>
    </w:p>
    <w:p w:rsidR="00314973" w:rsidRDefault="00314973" w:rsidP="00314973">
      <w:pPr>
        <w:spacing w:after="0" w:line="240" w:lineRule="auto"/>
        <w:jc w:val="center"/>
        <w:rPr>
          <w:b/>
        </w:rPr>
      </w:pPr>
      <w:proofErr w:type="gramStart"/>
      <w:r w:rsidRPr="00D83DE5">
        <w:rPr>
          <w:b/>
        </w:rPr>
        <w:t xml:space="preserve">Об утверждении </w:t>
      </w:r>
      <w:r>
        <w:rPr>
          <w:b/>
        </w:rPr>
        <w:t>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Миякибашевский сельсовет муниципального района Миякинский район Республики Башкортостан</w:t>
      </w:r>
      <w:proofErr w:type="gramEnd"/>
    </w:p>
    <w:p w:rsidR="00314973" w:rsidRDefault="00314973" w:rsidP="00314973">
      <w:pPr>
        <w:spacing w:after="0" w:line="240" w:lineRule="auto"/>
        <w:jc w:val="center"/>
        <w:rPr>
          <w:b/>
        </w:rPr>
      </w:pPr>
    </w:p>
    <w:p w:rsidR="00314973" w:rsidRPr="00D83DE5" w:rsidRDefault="00314973" w:rsidP="00314973">
      <w:pPr>
        <w:spacing w:after="0" w:line="240" w:lineRule="auto"/>
        <w:jc w:val="center"/>
        <w:rPr>
          <w:b/>
        </w:rPr>
      </w:pPr>
    </w:p>
    <w:p w:rsidR="00314973" w:rsidRDefault="00314973" w:rsidP="00314973">
      <w:pPr>
        <w:spacing w:after="0" w:line="240" w:lineRule="auto"/>
        <w:ind w:firstLine="360"/>
        <w:jc w:val="both"/>
        <w:rPr>
          <w:rFonts w:eastAsia="Times New Roman"/>
          <w:color w:val="000000"/>
          <w:spacing w:val="60"/>
          <w:sz w:val="29"/>
          <w:szCs w:val="29"/>
          <w:lang w:eastAsia="ru-RU"/>
        </w:rPr>
      </w:pPr>
      <w:proofErr w:type="gramStart"/>
      <w:r>
        <w:rPr>
          <w:rFonts w:eastAsia="Times New Roman"/>
          <w:color w:val="000000"/>
          <w:spacing w:val="-3"/>
          <w:sz w:val="29"/>
          <w:szCs w:val="29"/>
          <w:lang w:eastAsia="ru-RU"/>
        </w:rPr>
        <w:t xml:space="preserve">В соответствии с </w:t>
      </w:r>
      <w:r w:rsidRPr="006F4284">
        <w:rPr>
          <w:rFonts w:eastAsia="Times New Roman"/>
          <w:color w:val="000000"/>
          <w:spacing w:val="-3"/>
          <w:sz w:val="29"/>
          <w:szCs w:val="29"/>
          <w:lang w:eastAsia="ru-RU"/>
        </w:rPr>
        <w:t xml:space="preserve">Федеральным Законом </w:t>
      </w:r>
      <w:r>
        <w:rPr>
          <w:rFonts w:eastAsia="Times New Roman"/>
          <w:color w:val="000000"/>
          <w:spacing w:val="-3"/>
          <w:sz w:val="29"/>
          <w:szCs w:val="29"/>
          <w:lang w:eastAsia="ru-RU"/>
        </w:rPr>
        <w:t xml:space="preserve">от 06.10.2003 г. </w:t>
      </w:r>
      <w:r w:rsidRPr="006F4284">
        <w:rPr>
          <w:rFonts w:eastAsia="Times New Roman"/>
          <w:color w:val="000000"/>
          <w:spacing w:val="-3"/>
          <w:sz w:val="29"/>
          <w:szCs w:val="29"/>
          <w:lang w:eastAsia="ru-RU"/>
        </w:rPr>
        <w:t>№131-ФЗ «Об общих принципах организации местного самоуправления в РФ»</w:t>
      </w:r>
      <w:r>
        <w:rPr>
          <w:rFonts w:eastAsia="Times New Roman"/>
          <w:color w:val="000000"/>
          <w:spacing w:val="-3"/>
          <w:sz w:val="29"/>
          <w:szCs w:val="29"/>
          <w:lang w:eastAsia="ru-RU"/>
        </w:rPr>
        <w:t>, 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>
        <w:rPr>
          <w:rFonts w:eastAsia="Times New Roman"/>
          <w:color w:val="000000"/>
          <w:spacing w:val="-3"/>
          <w:sz w:val="29"/>
          <w:szCs w:val="29"/>
          <w:lang w:eastAsia="ru-RU"/>
        </w:rPr>
        <w:t xml:space="preserve"> и окружающей среде», руководствуясь Уставом сельского поселения Миякибашевский сельсовет муниципального района Миякинский район Республики Башкортостан   </w:t>
      </w:r>
      <w:r w:rsidRPr="006F4284">
        <w:rPr>
          <w:rFonts w:eastAsia="Times New Roman"/>
          <w:color w:val="000000"/>
          <w:spacing w:val="60"/>
          <w:sz w:val="29"/>
          <w:szCs w:val="29"/>
          <w:lang w:eastAsia="ru-RU"/>
        </w:rPr>
        <w:t>решил</w:t>
      </w:r>
      <w:r>
        <w:rPr>
          <w:rFonts w:eastAsia="Times New Roman"/>
          <w:color w:val="000000"/>
          <w:spacing w:val="60"/>
          <w:sz w:val="29"/>
          <w:szCs w:val="29"/>
          <w:lang w:eastAsia="ru-RU"/>
        </w:rPr>
        <w:t>:</w:t>
      </w:r>
    </w:p>
    <w:p w:rsidR="00314973" w:rsidRDefault="00314973" w:rsidP="00314973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Миякибашевский сельсовет муниципального района Миякинский район Республики Башкортостан, согласно приложению.</w:t>
      </w:r>
      <w:proofErr w:type="gramEnd"/>
    </w:p>
    <w:p w:rsidR="00314973" w:rsidRDefault="00314973" w:rsidP="0031497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Настоящее решение вступает в силу по </w:t>
      </w:r>
      <w:proofErr w:type="gramStart"/>
      <w:r>
        <w:t>истечении</w:t>
      </w:r>
      <w:proofErr w:type="gramEnd"/>
      <w:r>
        <w:t xml:space="preserve"> 10 дней, после дня его официального опубликования.</w:t>
      </w:r>
    </w:p>
    <w:p w:rsidR="00314973" w:rsidRDefault="00314973" w:rsidP="00314973">
      <w:pPr>
        <w:spacing w:after="0" w:line="240" w:lineRule="auto"/>
        <w:jc w:val="both"/>
      </w:pPr>
    </w:p>
    <w:p w:rsidR="00DE7442" w:rsidRDefault="00DE7442" w:rsidP="00314973">
      <w:pPr>
        <w:spacing w:after="0" w:line="240" w:lineRule="auto"/>
        <w:jc w:val="both"/>
      </w:pPr>
    </w:p>
    <w:p w:rsidR="00314973" w:rsidRDefault="00314973" w:rsidP="00314973">
      <w:pPr>
        <w:spacing w:after="0" w:line="240" w:lineRule="auto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М. Б. Саррахов</w:t>
      </w:r>
    </w:p>
    <w:p w:rsidR="00314973" w:rsidRDefault="00314973" w:rsidP="00314973">
      <w:pPr>
        <w:spacing w:after="0" w:line="240" w:lineRule="auto"/>
      </w:pPr>
    </w:p>
    <w:p w:rsidR="00314973" w:rsidRDefault="00314973" w:rsidP="00314973">
      <w:pPr>
        <w:spacing w:after="0" w:line="240" w:lineRule="auto"/>
      </w:pPr>
    </w:p>
    <w:p w:rsidR="00314973" w:rsidRDefault="00314973" w:rsidP="00314973">
      <w:pPr>
        <w:spacing w:after="0"/>
      </w:pPr>
      <w:r>
        <w:t>с. Анясе</w:t>
      </w:r>
      <w:bookmarkStart w:id="0" w:name="_GoBack"/>
      <w:bookmarkEnd w:id="0"/>
      <w:r>
        <w:t>во</w:t>
      </w:r>
    </w:p>
    <w:p w:rsidR="00314973" w:rsidRDefault="00314973" w:rsidP="00314973">
      <w:pPr>
        <w:spacing w:after="0"/>
      </w:pPr>
      <w:r>
        <w:t>26.02. 2015 г.</w:t>
      </w:r>
    </w:p>
    <w:p w:rsidR="00314973" w:rsidRDefault="00314973" w:rsidP="00314973">
      <w:pPr>
        <w:spacing w:after="0"/>
      </w:pPr>
      <w:r>
        <w:t>№273</w:t>
      </w:r>
      <w:r>
        <w:br w:type="page"/>
      </w:r>
    </w:p>
    <w:p w:rsidR="00314973" w:rsidRPr="00B224E4" w:rsidRDefault="00EA5D02" w:rsidP="00EA5D02">
      <w:pPr>
        <w:framePr w:w="9811" w:h="14631" w:hRule="exact" w:wrap="none" w:vAnchor="page" w:hAnchor="page" w:x="1247" w:y="1386"/>
        <w:widowControl w:val="0"/>
        <w:tabs>
          <w:tab w:val="left" w:leader="underscore" w:pos="8973"/>
        </w:tabs>
        <w:spacing w:after="0" w:line="240" w:lineRule="auto"/>
        <w:ind w:left="664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314973" w:rsidRPr="00B224E4">
        <w:rPr>
          <w:rFonts w:eastAsia="Times New Roman"/>
          <w:color w:val="000000"/>
          <w:sz w:val="26"/>
          <w:szCs w:val="26"/>
          <w:lang w:eastAsia="ru-RU"/>
        </w:rPr>
        <w:t>к решению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Совета сельского поселения Миякибашевский сельсовет муниципального района Миякинский район Республики Башкортостан</w:t>
      </w:r>
    </w:p>
    <w:p w:rsidR="00314973" w:rsidRPr="00B224E4" w:rsidRDefault="00EA5D02" w:rsidP="00EA5D02">
      <w:pPr>
        <w:framePr w:w="9811" w:h="14631" w:hRule="exact" w:wrap="none" w:vAnchor="page" w:hAnchor="page" w:x="1247" w:y="1386"/>
        <w:widowControl w:val="0"/>
        <w:tabs>
          <w:tab w:val="left" w:leader="underscore" w:pos="1546"/>
          <w:tab w:val="left" w:leader="underscore" w:pos="3048"/>
        </w:tabs>
        <w:spacing w:after="0" w:line="240" w:lineRule="auto"/>
        <w:ind w:left="5664" w:right="4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о</w:t>
      </w:r>
      <w:r w:rsidR="00314973" w:rsidRPr="00B224E4">
        <w:rPr>
          <w:rFonts w:eastAsia="Times New Roman"/>
          <w:color w:val="000000"/>
          <w:sz w:val="26"/>
          <w:szCs w:val="26"/>
          <w:lang w:eastAsia="ru-RU"/>
        </w:rPr>
        <w:t>т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26.02.2015 </w:t>
      </w:r>
      <w:r w:rsidR="00314973" w:rsidRPr="00B224E4">
        <w:rPr>
          <w:rFonts w:eastAsia="Times New Roman"/>
          <w:color w:val="000000"/>
          <w:sz w:val="26"/>
          <w:szCs w:val="26"/>
          <w:lang w:eastAsia="ru-RU"/>
        </w:rPr>
        <w:t>года №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273</w:t>
      </w:r>
      <w:r w:rsidR="00314973" w:rsidRPr="00B224E4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Порядок</w:t>
      </w:r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spacing w:after="0" w:line="240" w:lineRule="auto"/>
        <w:ind w:left="40" w:right="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tabs>
          <w:tab w:val="left" w:leader="underscore" w:pos="9232"/>
        </w:tabs>
        <w:spacing w:after="0" w:line="240" w:lineRule="auto"/>
        <w:ind w:left="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о порядке осуществления такого сбора в границах 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numPr>
          <w:ilvl w:val="0"/>
          <w:numId w:val="2"/>
        </w:numPr>
        <w:tabs>
          <w:tab w:val="left" w:pos="259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ОБЩИЕ ПОЛОЖЕНИЯ</w:t>
      </w:r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171"/>
        </w:tabs>
        <w:spacing w:after="0" w:line="240" w:lineRule="auto"/>
        <w:ind w:left="40" w:firstLine="5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Порядок организации сбора отработанных ртутьсодержащих ламп</w:t>
      </w:r>
    </w:p>
    <w:p w:rsidR="00314973" w:rsidRPr="00B224E4" w:rsidRDefault="00314973" w:rsidP="00EA5D02">
      <w:pPr>
        <w:framePr w:w="9811" w:h="14631" w:hRule="exact" w:wrap="none" w:vAnchor="page" w:hAnchor="page" w:x="1247" w:y="1386"/>
        <w:widowControl w:val="0"/>
        <w:tabs>
          <w:tab w:val="left" w:pos="4948"/>
          <w:tab w:val="left" w:leader="underscore" w:pos="6208"/>
        </w:tabs>
        <w:spacing w:after="0" w:line="240" w:lineRule="auto"/>
        <w:ind w:left="4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(далее - Порядок) в границах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A5D02">
        <w:rPr>
          <w:rFonts w:eastAsia="Times New Roman"/>
          <w:color w:val="000000"/>
          <w:sz w:val="26"/>
          <w:szCs w:val="26"/>
          <w:u w:val="single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>далее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поселения)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разработан в целях предотвращения неблагоприятного воздействия на здоровье граждан и.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  <w:proofErr w:type="gramEnd"/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302"/>
        </w:tabs>
        <w:spacing w:after="0" w:line="240" w:lineRule="auto"/>
        <w:ind w:left="40" w:right="40" w:firstLine="56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Порядок разработан в соответствии с Федеральным законом от 24 июня 1998 года № 89-ФЗ "Об отходах производства и потребления", Постановлением Правительства Российской Федерации от 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животным, растениям и окружающей среде", Санитарными правилами при работе со ртутью, ее соединениями и приборами с ртутным заполнением, утв. Главным государственным санитарным врачом СССР 4 апреля 1988 года № 4607-88, СанПиН 2.1.7.2790 - 10 «Санитарн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о-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эпидемиологические требования к обращению с медицинскими отходами», СанПиН 42-128-4690-88 «Санитарные правила содержания территорий населенных мест», СанПиН 2.1.7.1322-03 «Гигиенические требования к размещению и обезвреживанию отходов производства и потребления».</w:t>
      </w:r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442"/>
        </w:tabs>
        <w:spacing w:after="0" w:line="240" w:lineRule="auto"/>
        <w:ind w:left="40" w:right="40" w:firstLine="56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314973" w:rsidRPr="00B224E4" w:rsidRDefault="00314973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072"/>
        </w:tabs>
        <w:spacing w:after="0" w:line="240" w:lineRule="auto"/>
        <w:ind w:left="40" w:right="40" w:firstLine="560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В настоящем Порядке применяются следующие основные понятия: отработанные ртутьсодержащие лампы - ртутьсодержащие отходы,</w:t>
      </w:r>
    </w:p>
    <w:p w:rsidR="00314973" w:rsidRPr="00B224E4" w:rsidRDefault="00314973" w:rsidP="003149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4973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представляющие 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собой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 —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</w:t>
      </w:r>
      <w:r w:rsidRPr="00B224E4">
        <w:rPr>
          <w:rFonts w:eastAsia="Times New Roman"/>
          <w:b/>
          <w:bCs/>
          <w:color w:val="000000"/>
          <w:spacing w:val="-8"/>
          <w:sz w:val="26"/>
          <w:szCs w:val="26"/>
          <w:lang w:eastAsia="ru-RU"/>
        </w:rPr>
        <w:t xml:space="preserve">I - IV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класса опасности;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- организациям для дальнейшего сбора, использования, обезвреживания, транспортирования и размещения;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40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ОРГАНИЗАЦИЯ СБОРА ОТРАБОТАННЫХ РТУТЬСОДЕРЖАПЩХ ЛАМП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082"/>
        </w:tabs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245"/>
        </w:tabs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осуществляют накопление отработанных ртутьсодержащих ламп.</w:t>
      </w:r>
    </w:p>
    <w:p w:rsidR="00314973" w:rsidRPr="00B224E4" w:rsidRDefault="00314973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130"/>
        </w:tabs>
        <w:spacing w:after="0" w:line="240" w:lineRule="auto"/>
        <w:ind w:left="40" w:right="40" w:firstLine="540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314973" w:rsidRPr="00EA5D02" w:rsidRDefault="00314973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098"/>
          <w:tab w:val="left" w:leader="underscore" w:pos="4588"/>
        </w:tabs>
        <w:spacing w:after="0" w:line="240" w:lineRule="auto"/>
        <w:ind w:left="40" w:right="4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EA5D02">
        <w:rPr>
          <w:rFonts w:eastAsia="Times New Roman"/>
          <w:color w:val="000000"/>
          <w:sz w:val="26"/>
          <w:szCs w:val="26"/>
          <w:lang w:eastAsia="ru-RU"/>
        </w:rPr>
        <w:t>В границах  поселения</w:t>
      </w:r>
      <w:r w:rsidR="00EA5D02" w:rsidRP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EA5D02">
        <w:rPr>
          <w:rFonts w:eastAsia="Times New Roman"/>
          <w:color w:val="000000"/>
          <w:sz w:val="26"/>
          <w:szCs w:val="26"/>
          <w:lang w:eastAsia="ru-RU"/>
        </w:rPr>
        <w:t xml:space="preserve"> потребители -</w:t>
      </w:r>
      <w:r w:rsidR="00EA5D02" w:rsidRP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EA5D02">
        <w:rPr>
          <w:rFonts w:eastAsia="Times New Roman"/>
          <w:color w:val="000000"/>
          <w:sz w:val="26"/>
          <w:szCs w:val="26"/>
          <w:lang w:eastAsia="ru-RU"/>
        </w:rPr>
        <w:t>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организации).</w:t>
      </w:r>
      <w:proofErr w:type="gramEnd"/>
      <w:r w:rsidRPr="00EA5D02">
        <w:rPr>
          <w:rFonts w:eastAsia="Times New Roman"/>
          <w:color w:val="000000"/>
          <w:sz w:val="26"/>
          <w:szCs w:val="26"/>
          <w:lang w:eastAsia="ru-RU"/>
        </w:rPr>
        <w:t xml:space="preserve">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314973" w:rsidRPr="00B224E4" w:rsidRDefault="00314973" w:rsidP="003149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4973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1"/>
          <w:numId w:val="2"/>
        </w:numPr>
        <w:tabs>
          <w:tab w:val="left" w:pos="1307"/>
        </w:tabs>
        <w:spacing w:after="0" w:line="240" w:lineRule="auto"/>
        <w:ind w:left="40" w:right="36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lastRenderedPageBreak/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и, размещения и транспортирования до них.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1"/>
          <w:numId w:val="2"/>
        </w:numPr>
        <w:tabs>
          <w:tab w:val="left" w:pos="1389"/>
        </w:tabs>
        <w:spacing w:after="0" w:line="240" w:lineRule="auto"/>
        <w:ind w:left="40" w:right="360" w:firstLine="540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Накопление отработанных ртутьсодержащих ламп должно производиться в соответствии с требованиями Санитарных правил при работе 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со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№ 4607-88.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226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Накопление отработанных ртутьсодержащих ламп производится отдельно от других видов отходов.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298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662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Не допускается совместное хранение поврежденных и неповрежденных ртутьсодержащих ламп, а также самостоятельное обезвреживание, использование, -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  <w:proofErr w:type="gramEnd"/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spacing w:after="0" w:line="240" w:lineRule="auto"/>
        <w:ind w:left="40" w:right="360"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Хранение поврежденных ртутьсодержащих ламп осуществляется в специальной таре.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408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Размещение отработанных ртутьсодержащих ламп не может осуществляться путем захоронения.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245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341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 потребителями отработанных ртутьсодержащих ламп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314973" w:rsidRPr="00B224E4" w:rsidRDefault="00314973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653"/>
          <w:tab w:val="left" w:pos="2951"/>
          <w:tab w:val="left" w:pos="5606"/>
          <w:tab w:val="left" w:pos="8399"/>
        </w:tabs>
        <w:spacing w:after="0" w:line="240" w:lineRule="auto"/>
        <w:ind w:right="36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У потребителей ртутьсодержащих л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амп, являющихся собственниками,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нанимателями,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пользователями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помещений в многоквартирных домах, сбор и размещение перед передачей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</w:t>
      </w:r>
      <w:proofErr w:type="gramEnd"/>
    </w:p>
    <w:p w:rsidR="00314973" w:rsidRPr="00B224E4" w:rsidRDefault="00314973" w:rsidP="003149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4973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tabs>
          <w:tab w:val="left" w:pos="5347"/>
        </w:tabs>
        <w:spacing w:after="0" w:line="240" w:lineRule="auto"/>
        <w:ind w:left="60" w:right="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lastRenderedPageBreak/>
        <w:t>оказания услуг и (или) выполнения работ по приему и утилизации отработанных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ab/>
        <w:t>к содержанию общего имущества,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 w:firstLine="78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помещении в многоквартирных "домах,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соответствующей специализированной организацией.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 w:firstLine="78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Сбор отработанных ртутьсодержащих ламп у потребителей отработанных ртутьсодержащих ламп осуществляют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специализированные организации.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numPr>
          <w:ilvl w:val="0"/>
          <w:numId w:val="4"/>
        </w:numPr>
        <w:tabs>
          <w:tab w:val="left" w:pos="2508"/>
          <w:tab w:val="left" w:pos="1248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‘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ab/>
        <w:t>3. ИНФОРМИРОВАНИЕ НАСЕЛЕНИЯ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040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Информирование о порядке сбора 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отработанных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ртутьсодержащих</w:t>
      </w:r>
    </w:p>
    <w:p w:rsidR="00314973" w:rsidRPr="00B224E4" w:rsidRDefault="00314973" w:rsidP="00EA5D02">
      <w:pPr>
        <w:framePr w:w="9778" w:h="15557" w:hRule="exact" w:wrap="none" w:vAnchor="page" w:hAnchor="page" w:x="1264" w:y="769"/>
        <w:widowControl w:val="0"/>
        <w:tabs>
          <w:tab w:val="left" w:leader="underscore" w:pos="5959"/>
          <w:tab w:val="left" w:leader="underscore" w:pos="7178"/>
        </w:tabs>
        <w:spacing w:after="0" w:line="240" w:lineRule="auto"/>
        <w:ind w:left="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ламп осуществляется Администрацией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Миякибашевский сельсовет муниципального района Миякинский район Республики Башкортоста</w:t>
      </w:r>
      <w:proofErr w:type="gramStart"/>
      <w:r w:rsidR="00EA5D02">
        <w:rPr>
          <w:rFonts w:eastAsia="Times New Roman"/>
          <w:color w:val="000000"/>
          <w:sz w:val="26"/>
          <w:szCs w:val="26"/>
          <w:lang w:eastAsia="ru-RU"/>
        </w:rPr>
        <w:t>н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(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>далее по тексту -Администрация), в границах  поселения,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  <w:proofErr w:type="gramEnd"/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107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Информация о порядке сбора отработанных ртутьсодержащих ламп</w:t>
      </w:r>
    </w:p>
    <w:p w:rsidR="00314973" w:rsidRPr="00B224E4" w:rsidRDefault="00314973" w:rsidP="00EA5D02">
      <w:pPr>
        <w:framePr w:w="9778" w:h="15557" w:hRule="exact" w:wrap="none" w:vAnchor="page" w:hAnchor="page" w:x="1264" w:y="769"/>
        <w:widowControl w:val="0"/>
        <w:tabs>
          <w:tab w:val="left" w:leader="underscore" w:pos="7711"/>
        </w:tabs>
        <w:spacing w:after="0" w:line="240" w:lineRule="auto"/>
        <w:ind w:left="6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размещается на официальном сайте Администрации (</w:t>
      </w:r>
      <w:r w:rsidR="00EA5D02" w:rsidRPr="00EA5D02">
        <w:rPr>
          <w:rFonts w:eastAsia="Times New Roman"/>
          <w:color w:val="000000"/>
          <w:sz w:val="26"/>
          <w:szCs w:val="26"/>
          <w:lang w:eastAsia="ru-RU"/>
        </w:rPr>
        <w:t>http://sp-miyakibash.ru/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), 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>на информационном стенде,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в местах реализации</w:t>
      </w:r>
      <w:r w:rsid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B224E4">
        <w:rPr>
          <w:rFonts w:eastAsia="Times New Roman"/>
          <w:color w:val="000000"/>
          <w:sz w:val="26"/>
          <w:szCs w:val="26"/>
          <w:lang w:eastAsia="ru-RU"/>
        </w:rPr>
        <w:t>ртутьсодержащих ламп, по месту нахождения специализированных организаций.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447"/>
        </w:tabs>
        <w:spacing w:after="0" w:line="240" w:lineRule="auto"/>
        <w:ind w:right="6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>стендах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(стойках) в помещении управляющей организации.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04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Размещению подлежит следующая информация:</w:t>
      </w:r>
    </w:p>
    <w:p w:rsidR="00314973" w:rsidRPr="00B224E4" w:rsidRDefault="00314973" w:rsidP="00314973">
      <w:pPr>
        <w:framePr w:w="9778" w:h="15557" w:hRule="exact" w:wrap="none" w:vAnchor="page" w:hAnchor="page" w:x="1264" w:y="769"/>
        <w:widowControl w:val="0"/>
        <w:numPr>
          <w:ilvl w:val="0"/>
          <w:numId w:val="4"/>
        </w:numPr>
        <w:tabs>
          <w:tab w:val="left" w:pos="723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порядок организации сбора отработанных ртутьсодержащих ламп;</w:t>
      </w:r>
    </w:p>
    <w:p w:rsidR="00314973" w:rsidRPr="00B224E4" w:rsidRDefault="00314973" w:rsidP="003149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4973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14973" w:rsidRPr="00B224E4" w:rsidRDefault="00314973" w:rsidP="00314973">
      <w:pPr>
        <w:framePr w:w="10032" w:h="5551" w:hRule="exact" w:wrap="none" w:vAnchor="page" w:hAnchor="page" w:x="1137" w:y="769"/>
        <w:widowControl w:val="0"/>
        <w:numPr>
          <w:ilvl w:val="0"/>
          <w:numId w:val="4"/>
        </w:numPr>
        <w:tabs>
          <w:tab w:val="left" w:pos="859"/>
        </w:tabs>
        <w:spacing w:after="0" w:line="240" w:lineRule="auto"/>
        <w:ind w:right="30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B224E4">
        <w:rPr>
          <w:rFonts w:eastAsia="Times New Roman"/>
          <w:color w:val="000000"/>
          <w:sz w:val="26"/>
          <w:szCs w:val="26"/>
          <w:lang w:eastAsia="ru-RU"/>
        </w:rPr>
        <w:t>демеркуризационных</w:t>
      </w:r>
      <w:proofErr w:type="spellEnd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 мероприятий с указанием места нахождения</w:t>
      </w:r>
      <w:proofErr w:type="gramStart"/>
      <w:r w:rsidRPr="00B224E4">
        <w:rPr>
          <w:rFonts w:eastAsia="Times New Roman"/>
          <w:color w:val="000000"/>
          <w:sz w:val="26"/>
          <w:szCs w:val="26"/>
          <w:lang w:eastAsia="ru-RU"/>
        </w:rPr>
        <w:t xml:space="preserve">,, </w:t>
      </w:r>
      <w:proofErr w:type="gramEnd"/>
      <w:r w:rsidRPr="00B224E4">
        <w:rPr>
          <w:rFonts w:eastAsia="Times New Roman"/>
          <w:color w:val="000000"/>
          <w:sz w:val="26"/>
          <w:szCs w:val="26"/>
          <w:lang w:eastAsia="ru-RU"/>
        </w:rPr>
        <w:t>и контактных телефонов;</w:t>
      </w:r>
    </w:p>
    <w:p w:rsidR="00314973" w:rsidRPr="00B224E4" w:rsidRDefault="00314973" w:rsidP="00314973">
      <w:pPr>
        <w:framePr w:w="10032" w:h="5551" w:hRule="exact" w:wrap="none" w:vAnchor="page" w:hAnchor="page" w:x="1137" w:y="769"/>
        <w:widowControl w:val="0"/>
        <w:numPr>
          <w:ilvl w:val="0"/>
          <w:numId w:val="4"/>
        </w:numPr>
        <w:tabs>
          <w:tab w:val="left" w:pos="718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места и условия приема отработанных ртутьсодержащих ламп;</w:t>
      </w:r>
    </w:p>
    <w:p w:rsidR="00314973" w:rsidRPr="00B224E4" w:rsidRDefault="00314973" w:rsidP="00314973">
      <w:pPr>
        <w:framePr w:w="10032" w:h="5551" w:hRule="exact" w:wrap="none" w:vAnchor="page" w:hAnchor="page" w:x="1137" w:y="769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0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стоимость услуг по приему и утилизации отработанных ртутьсодержащих ламп.</w:t>
      </w:r>
    </w:p>
    <w:p w:rsidR="00314973" w:rsidRDefault="00314973" w:rsidP="00314973">
      <w:pPr>
        <w:framePr w:w="10032" w:h="5551" w:hRule="exact" w:wrap="none" w:vAnchor="page" w:hAnchor="page" w:x="1137" w:y="769"/>
        <w:widowControl w:val="0"/>
        <w:numPr>
          <w:ilvl w:val="0"/>
          <w:numId w:val="5"/>
        </w:numPr>
        <w:tabs>
          <w:tab w:val="left" w:pos="1099"/>
        </w:tabs>
        <w:spacing w:after="0" w:line="240" w:lineRule="auto"/>
        <w:ind w:right="30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EA5D02" w:rsidRPr="00B224E4" w:rsidRDefault="00EA5D02" w:rsidP="00EA5D02">
      <w:pPr>
        <w:framePr w:w="10032" w:h="5551" w:hRule="exact" w:wrap="none" w:vAnchor="page" w:hAnchor="page" w:x="1137" w:y="769"/>
        <w:widowControl w:val="0"/>
        <w:tabs>
          <w:tab w:val="left" w:pos="1099"/>
        </w:tabs>
        <w:spacing w:after="0" w:line="240" w:lineRule="auto"/>
        <w:ind w:right="30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314973" w:rsidRPr="00B224E4" w:rsidRDefault="00314973" w:rsidP="00314973">
      <w:pPr>
        <w:framePr w:w="10032" w:h="5551" w:hRule="exact" w:wrap="none" w:vAnchor="page" w:hAnchor="page" w:x="1137" w:y="769"/>
        <w:widowControl w:val="0"/>
        <w:spacing w:after="0" w:line="240" w:lineRule="auto"/>
        <w:ind w:left="30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B224E4">
        <w:rPr>
          <w:rFonts w:eastAsia="Times New Roman"/>
          <w:color w:val="000000"/>
          <w:sz w:val="26"/>
          <w:szCs w:val="26"/>
          <w:lang w:eastAsia="ru-RU"/>
        </w:rPr>
        <w:t>4. ОТВЕТСТВЕННОСТЬ ЗА НАРУШЕНИЕ ПРАВИЛ ОБРАЩЕНИЯ С ОТРАБОТАННЫМИ РТУТЬСОДЕРЖАЩИМИ ЛАМПАМИ</w:t>
      </w:r>
    </w:p>
    <w:p w:rsidR="00314973" w:rsidRPr="00EA5D02" w:rsidRDefault="00314973" w:rsidP="00314973">
      <w:pPr>
        <w:framePr w:w="10032" w:h="5551" w:hRule="exact" w:wrap="none" w:vAnchor="page" w:hAnchor="page" w:x="1137" w:y="769"/>
        <w:widowControl w:val="0"/>
        <w:numPr>
          <w:ilvl w:val="0"/>
          <w:numId w:val="6"/>
        </w:numPr>
        <w:tabs>
          <w:tab w:val="left" w:pos="1056"/>
        </w:tabs>
        <w:spacing w:after="0" w:line="240" w:lineRule="auto"/>
        <w:ind w:right="30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5D02">
        <w:rPr>
          <w:rFonts w:eastAsia="Times New Roman"/>
          <w:color w:val="000000"/>
          <w:sz w:val="26"/>
          <w:szCs w:val="26"/>
          <w:lang w:eastAsia="ru-RU"/>
        </w:rPr>
        <w:t>За нарушение правил обращения с отработанными ртутьсодержащими лампами потребители несут ответственность в соответствии</w:t>
      </w:r>
      <w:r w:rsidR="00EA5D02" w:rsidRPr="00EA5D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EA5D02">
        <w:rPr>
          <w:rFonts w:eastAsia="Times New Roman"/>
          <w:color w:val="000000"/>
          <w:sz w:val="26"/>
          <w:szCs w:val="26"/>
          <w:lang w:eastAsia="ru-RU"/>
        </w:rPr>
        <w:t>с законодательством.</w:t>
      </w:r>
    </w:p>
    <w:p w:rsidR="00314973" w:rsidRPr="00B224E4" w:rsidRDefault="00314973" w:rsidP="003149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4973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23582" w:rsidRDefault="00314973" w:rsidP="00314973">
      <w:pPr>
        <w:framePr w:w="16243" w:h="1025" w:hRule="exact" w:wrap="none" w:vAnchor="page" w:hAnchor="page" w:x="353" w:y="1921"/>
        <w:widowControl w:val="0"/>
        <w:spacing w:after="0" w:line="240" w:lineRule="auto"/>
        <w:ind w:right="280" w:firstLine="28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FFA8488" wp14:editId="58BB3B15">
            <wp:simplePos x="0" y="0"/>
            <wp:positionH relativeFrom="column">
              <wp:posOffset>142240</wp:posOffset>
            </wp:positionH>
            <wp:positionV relativeFrom="paragraph">
              <wp:posOffset>-624840</wp:posOffset>
            </wp:positionV>
            <wp:extent cx="6842760" cy="9707880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582" w:rsidSect="003149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CAF"/>
    <w:multiLevelType w:val="multilevel"/>
    <w:tmpl w:val="14BCDA0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93A5C"/>
    <w:multiLevelType w:val="hybridMultilevel"/>
    <w:tmpl w:val="63B806FE"/>
    <w:lvl w:ilvl="0" w:tplc="3468E5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7750"/>
    <w:multiLevelType w:val="multilevel"/>
    <w:tmpl w:val="35B6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876E0"/>
    <w:multiLevelType w:val="multilevel"/>
    <w:tmpl w:val="7D0A71DA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43F51"/>
    <w:multiLevelType w:val="multilevel"/>
    <w:tmpl w:val="9B66F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70C84"/>
    <w:multiLevelType w:val="multilevel"/>
    <w:tmpl w:val="8DC2C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C"/>
    <w:rsid w:val="00314973"/>
    <w:rsid w:val="004861F3"/>
    <w:rsid w:val="00756E5C"/>
    <w:rsid w:val="00DE7442"/>
    <w:rsid w:val="00E23582"/>
    <w:rsid w:val="00E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2015-02-26T05:48:00Z</dcterms:created>
  <dcterms:modified xsi:type="dcterms:W3CDTF">2015-02-26T06:00:00Z</dcterms:modified>
</cp:coreProperties>
</file>