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C30D8C" w:rsidRPr="00C30D8C" w:rsidTr="00364FD5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C30D8C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C30D8C">
              <w:rPr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C30D8C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C30D8C">
              <w:rPr>
                <w:b/>
                <w:sz w:val="14"/>
                <w:szCs w:val="16"/>
                <w:lang w:eastAsia="en-US"/>
              </w:rPr>
              <w:t>Ә РАЙОНЫ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C30D8C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C30D8C">
              <w:rPr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C30D8C">
              <w:rPr>
                <w:rFonts w:ascii="Calibri" w:hAnsi="Calibri"/>
                <w:noProof/>
                <w:sz w:val="2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D040DF7" wp14:editId="6F9887C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СОВЕТ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C30D8C" w:rsidRPr="00C30D8C" w:rsidRDefault="00C30D8C" w:rsidP="00C30D8C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C30D8C" w:rsidRPr="00C30D8C" w:rsidRDefault="00C30D8C" w:rsidP="00C30D8C">
      <w:pPr>
        <w:ind w:left="-720" w:firstLine="720"/>
        <w:rPr>
          <w:rFonts w:ascii="Century Tat" w:hAnsi="Century Tat"/>
          <w:b/>
          <w:sz w:val="28"/>
          <w:szCs w:val="28"/>
        </w:rPr>
      </w:pPr>
    </w:p>
    <w:p w:rsidR="00C30D8C" w:rsidRPr="00C30D8C" w:rsidRDefault="00C30D8C" w:rsidP="00C30D8C">
      <w:pPr>
        <w:spacing w:line="480" w:lineRule="auto"/>
        <w:ind w:left="-720" w:firstLine="720"/>
        <w:rPr>
          <w:b/>
          <w:sz w:val="28"/>
          <w:szCs w:val="28"/>
        </w:rPr>
      </w:pPr>
      <w:r w:rsidRPr="00C30D8C">
        <w:rPr>
          <w:rFonts w:ascii="Century Tat" w:hAnsi="Century Tat"/>
          <w:b/>
          <w:sz w:val="28"/>
          <w:szCs w:val="28"/>
        </w:rPr>
        <w:tab/>
        <w:t xml:space="preserve">   </w:t>
      </w:r>
      <w:r w:rsidRPr="00C30D8C">
        <w:rPr>
          <w:b/>
          <w:sz w:val="28"/>
          <w:szCs w:val="28"/>
          <w:lang w:val="ba-RU"/>
        </w:rPr>
        <w:t>Ҡ</w:t>
      </w:r>
      <w:r w:rsidRPr="00C30D8C">
        <w:rPr>
          <w:b/>
          <w:sz w:val="28"/>
          <w:szCs w:val="28"/>
        </w:rPr>
        <w:t>АРАР</w:t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  <w:t xml:space="preserve">    </w:t>
      </w:r>
      <w:r w:rsidRPr="00C30D8C">
        <w:rPr>
          <w:b/>
          <w:sz w:val="28"/>
          <w:szCs w:val="28"/>
        </w:rPr>
        <w:tab/>
        <w:t xml:space="preserve">    РЕШЕНИЕ</w:t>
      </w:r>
    </w:p>
    <w:p w:rsidR="00C30D8C" w:rsidRDefault="00C30D8C" w:rsidP="00C30D8C">
      <w:pPr>
        <w:jc w:val="center"/>
        <w:rPr>
          <w:b/>
          <w:spacing w:val="-10"/>
          <w:sz w:val="28"/>
          <w:szCs w:val="28"/>
        </w:rPr>
      </w:pPr>
      <w:r w:rsidRPr="00455642">
        <w:rPr>
          <w:b/>
          <w:spacing w:val="-10"/>
          <w:sz w:val="28"/>
          <w:szCs w:val="28"/>
        </w:rPr>
        <w:t xml:space="preserve">Об исполнении бюджета сельского поселения </w:t>
      </w:r>
      <w:r>
        <w:rPr>
          <w:b/>
          <w:spacing w:val="-10"/>
          <w:sz w:val="28"/>
          <w:szCs w:val="28"/>
        </w:rPr>
        <w:t xml:space="preserve">Миякибашевский </w:t>
      </w:r>
      <w:r w:rsidRPr="00455642">
        <w:rPr>
          <w:b/>
          <w:spacing w:val="-10"/>
          <w:sz w:val="28"/>
          <w:szCs w:val="28"/>
        </w:rPr>
        <w:t>сельсовет муниципального района Миякинский район Республики Башкортостан</w:t>
      </w:r>
      <w:r>
        <w:rPr>
          <w:b/>
          <w:spacing w:val="-10"/>
          <w:sz w:val="28"/>
          <w:szCs w:val="28"/>
        </w:rPr>
        <w:t xml:space="preserve"> за 2014 год</w:t>
      </w:r>
    </w:p>
    <w:p w:rsidR="00C30D8C" w:rsidRDefault="00C30D8C" w:rsidP="00C30D8C">
      <w:pPr>
        <w:jc w:val="center"/>
        <w:rPr>
          <w:b/>
          <w:spacing w:val="-10"/>
          <w:sz w:val="28"/>
          <w:szCs w:val="28"/>
        </w:rPr>
      </w:pPr>
    </w:p>
    <w:p w:rsidR="00C30D8C" w:rsidRDefault="00C30D8C" w:rsidP="00C30D8C">
      <w:pPr>
        <w:jc w:val="center"/>
        <w:rPr>
          <w:b/>
          <w:spacing w:val="-10"/>
          <w:sz w:val="28"/>
          <w:szCs w:val="28"/>
        </w:rPr>
      </w:pPr>
    </w:p>
    <w:p w:rsidR="00C30D8C" w:rsidRPr="00455642" w:rsidRDefault="00C30D8C" w:rsidP="00C30D8C">
      <w:pPr>
        <w:shd w:val="clear" w:color="auto" w:fill="FFFFFF"/>
        <w:ind w:firstLine="570"/>
        <w:jc w:val="both"/>
        <w:rPr>
          <w:bCs/>
          <w:color w:val="000000"/>
          <w:spacing w:val="-5"/>
          <w:sz w:val="28"/>
          <w:szCs w:val="28"/>
        </w:rPr>
      </w:pPr>
      <w:r w:rsidRPr="00455642">
        <w:rPr>
          <w:bCs/>
          <w:color w:val="000000"/>
          <w:spacing w:val="-5"/>
          <w:sz w:val="28"/>
          <w:szCs w:val="28"/>
        </w:rPr>
        <w:t>Рассмотрев информацию</w:t>
      </w:r>
      <w:r>
        <w:rPr>
          <w:bCs/>
          <w:color w:val="000000"/>
          <w:spacing w:val="-5"/>
          <w:sz w:val="28"/>
          <w:szCs w:val="28"/>
        </w:rPr>
        <w:t xml:space="preserve"> об исполнении бюджета сельского поселения Миякибашевский сельсовет муниципального района Миякинский район Республики Башкортостан</w:t>
      </w:r>
      <w:r w:rsidRPr="00455642">
        <w:rPr>
          <w:bCs/>
          <w:color w:val="000000"/>
          <w:spacing w:val="-5"/>
          <w:sz w:val="28"/>
          <w:szCs w:val="28"/>
        </w:rPr>
        <w:t xml:space="preserve"> представленную </w:t>
      </w:r>
      <w:r>
        <w:rPr>
          <w:bCs/>
          <w:color w:val="000000"/>
          <w:spacing w:val="-5"/>
          <w:sz w:val="28"/>
          <w:szCs w:val="28"/>
        </w:rPr>
        <w:t>МКУ «Централизованная бухгалтерия сельских поселений муниципального района Миякинский район Республики Башкортостан»</w:t>
      </w:r>
      <w:r w:rsidRPr="00455642">
        <w:rPr>
          <w:bCs/>
          <w:color w:val="000000"/>
          <w:spacing w:val="-5"/>
          <w:sz w:val="28"/>
          <w:szCs w:val="28"/>
        </w:rPr>
        <w:t xml:space="preserve">, Совет сельского поселения </w:t>
      </w:r>
      <w:r>
        <w:rPr>
          <w:bCs/>
          <w:color w:val="000000"/>
          <w:spacing w:val="-5"/>
          <w:sz w:val="28"/>
          <w:szCs w:val="28"/>
        </w:rPr>
        <w:t>Миякибашевский сельсовет муниципального района Миякинский район Республики Башкортостан</w:t>
      </w:r>
      <w:r w:rsidRPr="00455642"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455642">
        <w:rPr>
          <w:bCs/>
          <w:color w:val="000000"/>
          <w:spacing w:val="-5"/>
          <w:sz w:val="28"/>
          <w:szCs w:val="28"/>
        </w:rPr>
        <w:t>р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>е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>ш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>и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>л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>:</w:t>
      </w:r>
    </w:p>
    <w:p w:rsidR="00C30D8C" w:rsidRPr="00C30D8C" w:rsidRDefault="00C30D8C" w:rsidP="00C30D8C">
      <w:pPr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455642">
        <w:rPr>
          <w:bCs/>
          <w:color w:val="000000"/>
          <w:spacing w:val="-5"/>
          <w:sz w:val="28"/>
          <w:szCs w:val="28"/>
        </w:rPr>
        <w:t xml:space="preserve">Принять к сведению информацию о ходе исполнения бюджета сельского поселения </w:t>
      </w:r>
      <w:r>
        <w:rPr>
          <w:bCs/>
          <w:color w:val="000000"/>
          <w:spacing w:val="-5"/>
          <w:sz w:val="28"/>
          <w:szCs w:val="28"/>
        </w:rPr>
        <w:t>Миякибашевский сельсовет муниципального района Миякинский район Республики Башкортостан</w:t>
      </w:r>
      <w:r w:rsidRPr="00455642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за 2014 год</w:t>
      </w:r>
      <w:r w:rsidRPr="00455642">
        <w:rPr>
          <w:bCs/>
          <w:color w:val="000000"/>
          <w:spacing w:val="-5"/>
          <w:sz w:val="28"/>
          <w:szCs w:val="28"/>
        </w:rPr>
        <w:t xml:space="preserve"> по доходам в </w:t>
      </w:r>
      <w:r>
        <w:rPr>
          <w:bCs/>
          <w:color w:val="000000"/>
          <w:spacing w:val="-5"/>
          <w:sz w:val="28"/>
          <w:szCs w:val="28"/>
        </w:rPr>
        <w:t xml:space="preserve">размере </w:t>
      </w:r>
      <w:r w:rsidRPr="00C30D8C">
        <w:rPr>
          <w:bCs/>
          <w:sz w:val="28"/>
          <w:szCs w:val="28"/>
        </w:rPr>
        <w:t>106,55</w:t>
      </w:r>
      <w:r w:rsidRPr="00455642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%</w:t>
      </w:r>
      <w:r w:rsidRPr="00455642">
        <w:rPr>
          <w:color w:val="000000"/>
          <w:spacing w:val="-5"/>
          <w:sz w:val="28"/>
          <w:szCs w:val="28"/>
        </w:rPr>
        <w:t xml:space="preserve"> и по расходам в </w:t>
      </w:r>
      <w:r>
        <w:rPr>
          <w:color w:val="000000"/>
          <w:spacing w:val="-5"/>
          <w:sz w:val="28"/>
          <w:szCs w:val="28"/>
        </w:rPr>
        <w:t>размере 100,00%</w:t>
      </w:r>
      <w:r w:rsidRPr="0045564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.</w:t>
      </w:r>
      <w:proofErr w:type="gramEnd"/>
    </w:p>
    <w:p w:rsidR="00C30D8C" w:rsidRPr="00455642" w:rsidRDefault="00C30D8C" w:rsidP="00C30D8C">
      <w:pPr>
        <w:numPr>
          <w:ilvl w:val="0"/>
          <w:numId w:val="1"/>
        </w:numPr>
        <w:tabs>
          <w:tab w:val="num" w:pos="0"/>
        </w:tabs>
        <w:snapToGrid w:val="0"/>
        <w:ind w:left="0" w:firstLine="570"/>
        <w:jc w:val="both"/>
        <w:rPr>
          <w:bCs/>
          <w:color w:val="000000"/>
          <w:spacing w:val="-5"/>
          <w:sz w:val="28"/>
          <w:szCs w:val="28"/>
        </w:rPr>
      </w:pPr>
      <w:r w:rsidRPr="00F53A83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 xml:space="preserve">сельского поселения Миякибашевский сельсовет муниципального района Миякинский район Республики Башкортостан </w:t>
      </w:r>
      <w:r w:rsidRPr="00F53A83">
        <w:rPr>
          <w:sz w:val="28"/>
          <w:szCs w:val="28"/>
        </w:rPr>
        <w:t xml:space="preserve">за </w:t>
      </w:r>
      <w:r>
        <w:rPr>
          <w:sz w:val="28"/>
          <w:szCs w:val="28"/>
        </w:rPr>
        <w:t>2014 год согласно приложению</w:t>
      </w:r>
      <w:r w:rsidRPr="00F53A83">
        <w:rPr>
          <w:sz w:val="28"/>
          <w:szCs w:val="28"/>
        </w:rPr>
        <w:t>.</w:t>
      </w:r>
    </w:p>
    <w:p w:rsidR="00C30D8C" w:rsidRPr="00455642" w:rsidRDefault="00C30D8C" w:rsidP="00C30D8C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455642">
        <w:rPr>
          <w:bCs/>
          <w:color w:val="000000"/>
          <w:spacing w:val="-5"/>
          <w:sz w:val="28"/>
          <w:szCs w:val="28"/>
        </w:rPr>
        <w:t xml:space="preserve">       </w:t>
      </w:r>
      <w:r>
        <w:rPr>
          <w:bCs/>
          <w:color w:val="000000"/>
          <w:spacing w:val="-5"/>
          <w:sz w:val="28"/>
          <w:szCs w:val="28"/>
        </w:rPr>
        <w:t xml:space="preserve"> 3</w:t>
      </w:r>
      <w:r w:rsidRPr="00455642">
        <w:rPr>
          <w:bCs/>
          <w:color w:val="000000"/>
          <w:spacing w:val="-5"/>
          <w:sz w:val="28"/>
          <w:szCs w:val="28"/>
        </w:rPr>
        <w:t xml:space="preserve">. Обнародовать настоящее решение в соответствии с Уставом сельского поселения </w:t>
      </w:r>
      <w:r>
        <w:rPr>
          <w:bCs/>
          <w:color w:val="000000"/>
          <w:spacing w:val="-5"/>
          <w:sz w:val="28"/>
          <w:szCs w:val="28"/>
        </w:rPr>
        <w:t>Миякибашевский сельсовет муниципального района Миякинский район</w:t>
      </w:r>
      <w:r w:rsidRPr="00455642">
        <w:rPr>
          <w:bCs/>
          <w:color w:val="000000"/>
          <w:spacing w:val="-5"/>
          <w:sz w:val="28"/>
          <w:szCs w:val="28"/>
        </w:rPr>
        <w:t xml:space="preserve"> Республики Башкортостан.</w:t>
      </w:r>
    </w:p>
    <w:p w:rsidR="00C30D8C" w:rsidRPr="00455642" w:rsidRDefault="00C30D8C" w:rsidP="00C30D8C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455642">
        <w:rPr>
          <w:bCs/>
          <w:color w:val="000000"/>
          <w:spacing w:val="-5"/>
          <w:sz w:val="28"/>
          <w:szCs w:val="28"/>
        </w:rPr>
        <w:t xml:space="preserve">       </w:t>
      </w:r>
      <w:r>
        <w:rPr>
          <w:bCs/>
          <w:color w:val="000000"/>
          <w:spacing w:val="-5"/>
          <w:sz w:val="28"/>
          <w:szCs w:val="28"/>
        </w:rPr>
        <w:t xml:space="preserve"> 4</w:t>
      </w:r>
      <w:r w:rsidRPr="00455642">
        <w:rPr>
          <w:bCs/>
          <w:color w:val="000000"/>
          <w:spacing w:val="-5"/>
          <w:sz w:val="28"/>
          <w:szCs w:val="28"/>
        </w:rPr>
        <w:t xml:space="preserve">. </w:t>
      </w:r>
      <w:proofErr w:type="gramStart"/>
      <w:r w:rsidRPr="00455642">
        <w:rPr>
          <w:bCs/>
          <w:color w:val="000000"/>
          <w:spacing w:val="-5"/>
          <w:sz w:val="28"/>
          <w:szCs w:val="28"/>
        </w:rPr>
        <w:t xml:space="preserve">Контроль за выполнением настоящего решения возложить на постоянную </w:t>
      </w:r>
      <w:r w:rsidRPr="00E114D7">
        <w:rPr>
          <w:sz w:val="28"/>
          <w:szCs w:val="28"/>
        </w:rPr>
        <w:t>комиссии по бюджету, налогам и вопросами собственности</w:t>
      </w:r>
      <w:r w:rsidRPr="00E114D7">
        <w:rPr>
          <w:bCs/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 xml:space="preserve">Совета сельского поселения </w:t>
      </w:r>
      <w:r>
        <w:rPr>
          <w:bCs/>
          <w:color w:val="000000"/>
          <w:spacing w:val="-5"/>
          <w:sz w:val="28"/>
          <w:szCs w:val="28"/>
        </w:rPr>
        <w:t>Миякибашевский сельсовет муниципального района Миякинский район</w:t>
      </w:r>
      <w:r w:rsidRPr="00455642">
        <w:rPr>
          <w:color w:val="000000"/>
          <w:spacing w:val="-5"/>
          <w:sz w:val="28"/>
          <w:szCs w:val="28"/>
        </w:rPr>
        <w:t xml:space="preserve"> </w:t>
      </w:r>
      <w:r w:rsidRPr="00455642">
        <w:rPr>
          <w:bCs/>
          <w:color w:val="000000"/>
          <w:spacing w:val="-5"/>
          <w:sz w:val="28"/>
          <w:szCs w:val="28"/>
        </w:rPr>
        <w:t>Республики Башкортостан.</w:t>
      </w:r>
      <w:proofErr w:type="gramEnd"/>
    </w:p>
    <w:p w:rsidR="00C30D8C" w:rsidRPr="00455642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455642">
        <w:rPr>
          <w:color w:val="000000"/>
          <w:spacing w:val="-5"/>
          <w:sz w:val="28"/>
          <w:szCs w:val="28"/>
        </w:rPr>
        <w:t xml:space="preserve">     </w:t>
      </w:r>
    </w:p>
    <w:p w:rsidR="00C30D8C" w:rsidRPr="00455642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C30D8C" w:rsidRPr="00455642" w:rsidRDefault="007D2BE0" w:rsidP="00C30D8C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Глава сельского поселения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М. Б. Саррахов</w:t>
      </w:r>
      <w:bookmarkStart w:id="0" w:name="_GoBack"/>
      <w:bookmarkEnd w:id="0"/>
    </w:p>
    <w:p w:rsidR="00C30D8C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C30D8C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C30D8C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C30D8C" w:rsidRPr="00455642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455642">
        <w:rPr>
          <w:color w:val="000000"/>
          <w:spacing w:val="-5"/>
          <w:sz w:val="28"/>
          <w:szCs w:val="28"/>
        </w:rPr>
        <w:t>с.</w:t>
      </w:r>
      <w:r>
        <w:rPr>
          <w:color w:val="000000"/>
          <w:spacing w:val="-5"/>
          <w:sz w:val="28"/>
          <w:szCs w:val="28"/>
        </w:rPr>
        <w:t xml:space="preserve"> Анясево</w:t>
      </w:r>
    </w:p>
    <w:p w:rsidR="00C30D8C" w:rsidRPr="00455642" w:rsidRDefault="00C30D8C" w:rsidP="00C30D8C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10.04.2015</w:t>
      </w:r>
      <w:r w:rsidRPr="00455642">
        <w:rPr>
          <w:color w:val="000000"/>
          <w:spacing w:val="-5"/>
          <w:sz w:val="28"/>
          <w:szCs w:val="28"/>
        </w:rPr>
        <w:t xml:space="preserve"> г.</w:t>
      </w:r>
    </w:p>
    <w:p w:rsidR="00C30D8C" w:rsidRPr="00455642" w:rsidRDefault="00C30D8C" w:rsidP="00C30D8C">
      <w:pPr>
        <w:ind w:right="-388"/>
        <w:jc w:val="both"/>
        <w:rPr>
          <w:bCs/>
          <w:sz w:val="28"/>
          <w:szCs w:val="28"/>
        </w:rPr>
      </w:pPr>
      <w:r w:rsidRPr="0045564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287</w:t>
      </w:r>
      <w:r w:rsidRPr="00455642">
        <w:rPr>
          <w:sz w:val="28"/>
          <w:szCs w:val="28"/>
        </w:rPr>
        <w:t xml:space="preserve">       </w:t>
      </w:r>
    </w:p>
    <w:p w:rsidR="00C30D8C" w:rsidRDefault="00C30D8C" w:rsidP="00C30D8C">
      <w:pPr>
        <w:jc w:val="center"/>
        <w:rPr>
          <w:b/>
          <w:sz w:val="28"/>
          <w:szCs w:val="28"/>
        </w:rPr>
      </w:pPr>
    </w:p>
    <w:p w:rsidR="00C30D8C" w:rsidRDefault="00C30D8C" w:rsidP="00C30D8C">
      <w:pPr>
        <w:jc w:val="center"/>
        <w:rPr>
          <w:b/>
          <w:sz w:val="28"/>
          <w:szCs w:val="28"/>
        </w:rPr>
      </w:pPr>
    </w:p>
    <w:p w:rsidR="00C30D8C" w:rsidRDefault="00C30D8C">
      <w:pPr>
        <w:spacing w:after="200" w:line="276" w:lineRule="auto"/>
      </w:pPr>
      <w:r>
        <w:br w:type="page"/>
      </w:r>
    </w:p>
    <w:p w:rsidR="009916B0" w:rsidRDefault="009916B0">
      <w:pPr>
        <w:sectPr w:rsidR="00991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42" w:type="dxa"/>
        <w:tblInd w:w="93" w:type="dxa"/>
        <w:tblLook w:val="04A0" w:firstRow="1" w:lastRow="0" w:firstColumn="1" w:lastColumn="0" w:noHBand="0" w:noVBand="1"/>
      </w:tblPr>
      <w:tblGrid>
        <w:gridCol w:w="3001"/>
        <w:gridCol w:w="6918"/>
        <w:gridCol w:w="1568"/>
        <w:gridCol w:w="1584"/>
        <w:gridCol w:w="1265"/>
        <w:gridCol w:w="906"/>
      </w:tblGrid>
      <w:tr w:rsidR="009916B0" w:rsidTr="009916B0">
        <w:trPr>
          <w:trHeight w:val="264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6B0" w:rsidRDefault="009916B0" w:rsidP="009916B0">
            <w:pPr>
              <w:ind w:left="10620"/>
              <w:rPr>
                <w:bCs/>
                <w:sz w:val="20"/>
                <w:szCs w:val="20"/>
              </w:rPr>
            </w:pPr>
            <w:r w:rsidRPr="009916B0">
              <w:rPr>
                <w:bCs/>
                <w:sz w:val="20"/>
                <w:szCs w:val="20"/>
              </w:rPr>
              <w:lastRenderedPageBreak/>
              <w:t>Приложение к решению Совет сельского поселения Миякибашевский сельсовет муниципального района Миякинский район Республики Башкортостан</w:t>
            </w:r>
          </w:p>
          <w:p w:rsidR="009916B0" w:rsidRPr="009916B0" w:rsidRDefault="009916B0" w:rsidP="009916B0">
            <w:pPr>
              <w:ind w:left="106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10.04.2015 № 287</w:t>
            </w:r>
          </w:p>
        </w:tc>
      </w:tr>
      <w:tr w:rsidR="009916B0" w:rsidTr="009916B0">
        <w:trPr>
          <w:trHeight w:val="264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6B0" w:rsidRDefault="009916B0" w:rsidP="00FE53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Годовой отчет</w:t>
            </w:r>
          </w:p>
        </w:tc>
      </w:tr>
      <w:tr w:rsidR="009916B0" w:rsidTr="009916B0">
        <w:trPr>
          <w:trHeight w:val="264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6B0" w:rsidRDefault="009916B0" w:rsidP="007435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 исполнении бюджета</w:t>
            </w:r>
          </w:p>
        </w:tc>
      </w:tr>
      <w:tr w:rsidR="009916B0" w:rsidTr="009916B0">
        <w:trPr>
          <w:trHeight w:val="264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6B0" w:rsidRDefault="009916B0" w:rsidP="004A2C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801116511017 Сельское поселение Миякибашевский сельсовет МР</w:t>
            </w:r>
          </w:p>
        </w:tc>
      </w:tr>
      <w:tr w:rsidR="009916B0" w:rsidTr="009916B0">
        <w:trPr>
          <w:trHeight w:val="264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B0" w:rsidRDefault="009916B0" w:rsidP="00D859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 2014 год</w:t>
            </w:r>
          </w:p>
        </w:tc>
      </w:tr>
      <w:tr w:rsidR="009916B0" w:rsidTr="009916B0">
        <w:trPr>
          <w:trHeight w:val="264"/>
        </w:trPr>
        <w:tc>
          <w:tcPr>
            <w:tcW w:w="1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.: руб.</w:t>
            </w:r>
          </w:p>
        </w:tc>
      </w:tr>
      <w:tr w:rsidR="009916B0" w:rsidTr="009916B0">
        <w:trPr>
          <w:trHeight w:val="7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2013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Касса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(План - Касса)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-я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2 542 250,09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2 708 885,23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- 166 635,14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106,55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\1010201001\182\0000\110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229 347,39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-31 347,39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115,83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\1010201001\182\1000\110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229 347,39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- 229 347,39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369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\1010202001\182\1000\110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-98,53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369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\1010202001\182\2000\110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\1010203001\182\1000\110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1 376,50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-1 376,50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\1010203001\182\2000\110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-23,90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\1010203001\182\3000\110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- 400,00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\1050301001\182\0000\110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47 217,08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100,04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\1050301001\182\1000\110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47 025,62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-47 025,62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\1050301001\182\2000\110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- 191,46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\1060103010\182\0000\110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133 279,00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138 117,12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-4 838,12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103,63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\1060103010\182\1000\110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137 490,22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- 137 490,22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\1060103010\182\2000\110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- 626,90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\1060601310\182\0000\110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372 926,70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419 609,84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-46 683,14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112,52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\1060601310\182\1000\110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416 686,12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- 416 686,12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\1060601310\182\2000\110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1 923,72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-1 923,72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\1060601310\182\3000\110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\1060602310\182\0000\110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16 850,20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\1060602310\182\1000\110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16 848,96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-16 848,96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3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\1060602310\182\2000\110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\1080402001\791\0000\110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-1 300,00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105,70</w:t>
            </w:r>
          </w:p>
        </w:tc>
      </w:tr>
      <w:tr w:rsidR="009916B0" w:rsidTr="009916B0">
        <w:trPr>
          <w:trHeight w:val="26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\1080402001\791\1000\110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-24 100,00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\1110501310\863\0000\120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243 875,30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296 357,92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-52 482,62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121,52</w:t>
            </w:r>
          </w:p>
        </w:tc>
      </w:tr>
      <w:tr w:rsidR="009916B0" w:rsidTr="009916B0">
        <w:trPr>
          <w:trHeight w:val="105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\1130199510\791\0000\130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-1 290,00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\1140601310\863\0000\430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2 216,26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-2 216,26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\1170505010\791\0000\180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148 004,61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172 565,70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-24 561,09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116,59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\2020100110\791\0000\151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516 800,00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\2020100310\791\0000\151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\2020301510\791\0000\151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\2020499910\791\7502\151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\2020499910\791\7503\151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105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\2020905410\791\7301\151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380 444,48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380 444,48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2 788 882,04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2 788 882,04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105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\0102\\\\\\\\\\\\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507 442,00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507 442,00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\0102\791\99\\\\\\\\\\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507 442,00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507 442,00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\0102\791\99\0\\\\\\\\\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507 442,00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507 442,00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\0102\791\99\0\0203\121\211\ФЗ131-03_98\\РП-А-0100\3.00.000.000\\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402 242,00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402 242,00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\0102\791\99\0\0203\121\213\ФЗ131-03_98\\РП-А-0100\3.00.000.000\\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184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\0104\\\\\\\\\\\\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1 167 066,22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1 167 066,22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\0104\791\99\\\\\\\\\\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1 167 066,22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1 167 066,22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\0104\791\99\0\\\\\\\\\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1 167 066,22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1 167 066,22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\0104\791\99\0\0204\121\211\ФЗ131-03_98\\РП-А-0100\3.00.000.000\\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719 380,00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719 380,00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\0104\791\99\0\0204\121\213\ФЗ131-03_98\\РП-А-0100\3.00.000.000\\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\0104\791\99\0\0204\242\221\ФЗ131-03_98\\РП-А-0100\3.00.000.000\\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23 732,61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23 732,61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\0104\791\99\0\0204\242\225.2\ФЗ131-03_98\\РП-А-0100\3.00.000.000\\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\0104\791\99\0\0204\242\225.6\ФЗ131-03_98\\РП-А-0100\3.00.000.000\\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\0104\791\99\0\0204\242\226.10\ФЗ131-03_98\\РП-А-0100\3.00.000.000\\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\0104\791\99\0\0204\242\226.7\ФЗ131-03_98\\РП-А-0100\3.00.000.000\\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17 827,00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17 827,00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\0104\791\99\0\0204\244\223.1\ФЗ131-03_98\\РП-А-0100\3.00.000.000\\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8 472,47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8 472,47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\0104\791\99\0\0204\244\223.5\ФЗ131-03_98\\РП-А-0100\3.00.000.000\\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38 549,18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38 549,18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\0104\791\99\0\0204\244\223.6\ФЗ131-03_98\\РП-А-0100\3.00.000.000\\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3 555,08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3 555,08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\0104\791\99\0\0204\244\225.6\ФЗ131-03_98\\РП-А-0100\3.00.000.000\\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\0104\791\99\0\0204\244\226.10\ФЗ131-03_98\\РП-А-0100\3.00.000.000\\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14 580,14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14 580,14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\0104\791\99\0\0204\244\226.6\ФЗ131-03_98\\РП-А-0100\3.00.000.000\\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5 685,75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5 685,75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\0104\791\99\0\0204\244\290.8\ФЗ131-03_98\\РП-А-0100\3.00.000.000\\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\0104\791\99\0\0204\244\310.2\ФЗ131-03_98\\РП-А-0100\3.00.000.000\\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\0104\791\99\0\0204\244\340.3\ФЗ131-03_98\\РП-А-0100\3.00.000.000\\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105 677,48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105 677,48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\0104\791\99\0\0204\851\290.1.1\ФЗ131-03_98\\РП-А-0100\3.00.000.000\\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10 076,51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10 076,51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\0104\791\99\0\0204\852\290.1.2\ФЗ131-03_98\\РП-А-0100\3.00.000.000\\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\0203\\\\\\\\\\\\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\0203\791\99\\\\\\\\\\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\0203\791\99\0\\\\\\\\\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\0203\791\99\0\5118\121\211\ФЗ53-98_1\\РП-В-5700\3.00.000.000\\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43 680,00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43 680,00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\0203\791\99\0\5118\121\213\ФЗ53-98_1\\РП-В-5700\3.00.000.000\\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\0203\791\99\0\5118\244\340.3\ФЗ53-98_1\\РП-В-5700\3.00.000.000\\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\0409\\\\\\\\\\\\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514 444,48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514 444,48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105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Транспортное развитие сельских поселений муниципального района Миякинский район Республики Башкортостан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\0409\791\18\\\\\\\\\\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514 444,48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514 444,48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Содержание, ремонт автомобильных дорог сельского поселения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\0409\791\18\1\\\\\\\\\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514 444,48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514 444,48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\0409\791\18\1\0315\244\225.2\ФЗ131-03_102\\РП-А-1200\2.00.000.000\\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318 636,26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318 636,26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\0409\791\18\1\0315\244\225.6\ФЗ131-03_102\\РП-А-1200\2.00.000.000\\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159 995,74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159 995,74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\0409\791\18\1\0315\244\226.10\ФЗ131-03_102\\РП-А-1200\2.00.000.000\\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35 812,48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35 812,48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\0412\\\\\\\\\\\\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105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территории сельского поселения документами территориального планирования на 2014-2016гг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\0412\791\20\\\\\\\\\\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Разработка правил землепользования и застройки сельского поселения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\0412\791\20\2\\\\\\\\\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\0412\791\20\2\0338\244\226.2\ФЗ131-03_117\\РП-А-2900\2.00.000.000\\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\0502\\\\\\\\\\\\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262 028,34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262 028,34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\0502\791\99\\\\\\\\\\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262 028,34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262 028,34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\0502\791\99\0\\\\\\\\\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262 028,34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262 028,34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\0502\791\99\0\0356\244\223.5\ФЗ131-03_101\\РП-А-1100\3.00.000.000\\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243 422,23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243 422,23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\0502\791\99\0\0356\244\223.6\ФЗ131-03_101\\РП-А-1100\3.00.000.000\\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18 606,11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18 606,11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\0503\\\\\\\\\\\\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15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Развитие жилищно-коммунального хозяйства сельских поселений муниципального района Миякинский район Республики Башкортостан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\0503\791\17\\\\\\\\\\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и содержание объектов благоустройства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\0503\791\17\1\\\\\\\\\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180 831,00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\0503\791\17\1\0605\244\223.6\ФЗ131-03_116\\РП-А-2800\2.00.000.000\\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\0503\791\17\1\0605\244\225.6\ФЗ131-03_116\\РП-А-2800\2.00.000.000\\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21 940,00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21 940,00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\0503\791\17\1\0605\244\226.10\ФЗ131-03_116\\РП-А-2800\2.00.000.000\\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35 560,00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\0503\791\17\1\0605\244\226.4\ФЗ131-03_116\\РП-А-2800\2.00.000.000\\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\0503\791\17\1\0605\244\310.2\ФЗ131-03_116\\РП-А-2800\2.00.000.000\\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8 991,00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8 991,00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\0503\791\17\1\0605\244\340.3\ФЗ131-03_116\\РП-А-2800\2.00.000.000\\ \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\9999\\\\\\\\\\\\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\9999\791\99\\\\\\\\\\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\9999\791\99\0\\\\\\\\\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\9999\791\99\0\9999\\\\\\\\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ПРОФИЦИТ БЮДЖЕТА (со знаком "плюс"), ДЕФИЦИТ БЮДЖЕТА (со знаком "минус")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- 246 631,95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-79 996,81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- 166 635,14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32,44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\\\\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246 631,95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79 996,81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166 635,14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32,44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\0105020110\791\0000\001a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- 266 355,47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266 355,47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Прочие остатки денежных средств бюджетов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\0105020110\791\0000\002a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186 358,66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- 186 358,66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\0105020110\791\0000\510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-2 744 944,15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2 744 944,15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\0105020110\791\0000\610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2 824 940,96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-2 824 940,96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105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БЮДЖЕТА НА СЧЕТАХ В БАНКАХ В РУБЛЯХ И В ВАЛЮТЕ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246 631,95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79 996,81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166 635,14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32,44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начало года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\0105020110\791\0000\001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266 355,47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266 355,47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- 266 355,47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5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\0105020110\791\0000\002 \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-19 723,52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- 186 358,66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186 358,66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Проверочная запись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0" w:rsidRDefault="009916B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16B0" w:rsidTr="009916B0">
        <w:trPr>
          <w:trHeight w:val="264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B0" w:rsidRDefault="009916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23582" w:rsidRDefault="00E23582"/>
    <w:sectPr w:rsidR="00E23582" w:rsidSect="009916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A06"/>
    <w:multiLevelType w:val="hybridMultilevel"/>
    <w:tmpl w:val="77F447FC"/>
    <w:lvl w:ilvl="0" w:tplc="1B4EDAF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5F"/>
    <w:rsid w:val="000C635F"/>
    <w:rsid w:val="007D2BE0"/>
    <w:rsid w:val="009916B0"/>
    <w:rsid w:val="00C30D8C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2015-04-09T10:40:00Z</dcterms:created>
  <dcterms:modified xsi:type="dcterms:W3CDTF">2015-04-29T11:31:00Z</dcterms:modified>
</cp:coreProperties>
</file>